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497D8" w14:textId="77777777" w:rsidR="00224951" w:rsidRDefault="00224951" w:rsidP="00224951">
      <w:pPr>
        <w:ind w:left="1440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Қорытынды емтихан бағдарламасы</w:t>
      </w:r>
    </w:p>
    <w:p w14:paraId="15E200CE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«Бизнес коммуникацияны инвестициялау моделі»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458F51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Дата репортаж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97DDE7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дата-репортаж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28F20F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Дата репортаж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DB0F21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журналистикасы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02B1E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Репортер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E31EB4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1D9C28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C9049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Әдебиеттер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>
        <w:rPr>
          <w:rFonts w:ascii="Times New Roman" w:hAnsi="Times New Roman" w:cs="Times New Roman"/>
          <w:sz w:val="28"/>
          <w:szCs w:val="28"/>
        </w:rPr>
        <w:t>Edited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Jonathan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Liliana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Bounegru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Chambers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The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80DA0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2 2. </w:t>
      </w:r>
      <w:proofErr w:type="spellStart"/>
      <w:r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Centre. The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6F6315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1 3. </w:t>
      </w:r>
      <w:proofErr w:type="spellStart"/>
      <w:r>
        <w:rPr>
          <w:rFonts w:ascii="Times New Roman" w:hAnsi="Times New Roman" w:cs="Times New Roman"/>
          <w:sz w:val="28"/>
          <w:szCs w:val="28"/>
        </w:rPr>
        <w:t>Mayer-Schonberger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>
        <w:rPr>
          <w:rFonts w:ascii="Times New Roman" w:hAnsi="Times New Roman" w:cs="Times New Roman"/>
          <w:sz w:val="28"/>
          <w:szCs w:val="28"/>
        </w:rPr>
        <w:t>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Cukier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K. (2013). Big Data: A Revolution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Transform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We Live, Work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Think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Boston : </w:t>
      </w:r>
      <w:proofErr w:type="spellStart"/>
      <w:r>
        <w:rPr>
          <w:rFonts w:ascii="Times New Roman" w:hAnsi="Times New Roman" w:cs="Times New Roman"/>
          <w:sz w:val="28"/>
          <w:szCs w:val="28"/>
        </w:rPr>
        <w:t>Houghton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Mifflin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Harcourt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38D9B1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>
        <w:rPr>
          <w:rFonts w:ascii="Times New Roman" w:hAnsi="Times New Roman" w:cs="Times New Roman"/>
          <w:sz w:val="28"/>
          <w:szCs w:val="28"/>
        </w:rPr>
        <w:t>Tom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Felle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John </w:t>
      </w:r>
      <w:proofErr w:type="spellStart"/>
      <w:r>
        <w:rPr>
          <w:rFonts w:ascii="Times New Roman" w:hAnsi="Times New Roman" w:cs="Times New Roman"/>
          <w:sz w:val="28"/>
          <w:szCs w:val="28"/>
        </w:rPr>
        <w:t>Mair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Damian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Radcliffe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Inside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Global Future. </w:t>
      </w:r>
      <w:proofErr w:type="spellStart"/>
      <w:r>
        <w:rPr>
          <w:rFonts w:ascii="Times New Roman" w:hAnsi="Times New Roman" w:cs="Times New Roman"/>
          <w:sz w:val="28"/>
          <w:szCs w:val="28"/>
        </w:rPr>
        <w:t>Abramis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2015. p. </w:t>
      </w:r>
    </w:p>
    <w:p w14:paraId="16045CEE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John </w:t>
      </w:r>
      <w:proofErr w:type="spellStart"/>
      <w:r>
        <w:rPr>
          <w:rFonts w:ascii="Times New Roman" w:hAnsi="Times New Roman" w:cs="Times New Roman"/>
          <w:sz w:val="28"/>
          <w:szCs w:val="28"/>
        </w:rPr>
        <w:t>Mair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Lance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Keeble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Megan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Lucero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Martin </w:t>
      </w:r>
      <w:proofErr w:type="spellStart"/>
      <w:r>
        <w:rPr>
          <w:rFonts w:ascii="Times New Roman" w:hAnsi="Times New Roman" w:cs="Times New Roman"/>
          <w:sz w:val="28"/>
          <w:szCs w:val="28"/>
        </w:rPr>
        <w:t>Moore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past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Abramis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>
        <w:rPr>
          <w:rFonts w:ascii="Times New Roman" w:hAnsi="Times New Roman" w:cs="Times New Roman"/>
          <w:sz w:val="28"/>
          <w:szCs w:val="28"/>
        </w:rPr>
        <w:t>, 2017. Интернет-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06DD33A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https://public.tableau.com/en-us/gallery/?tab=viz-of-the-day&amp;type=viz-of-the-day 2. The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Visualization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Catalogue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D3DD2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The Data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4994C1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1 4.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https://www.youtube.com/watch?v=jbkSRLYSojo&amp;feature=youtu.be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DC866F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https://www.youtube.com/watch?list=PL964C97FCE910FD83&amp;time_continue=43&amp;v =g_B7TyKcFT8&amp;feature=</w:t>
      </w:r>
      <w:proofErr w:type="spellStart"/>
      <w:r>
        <w:rPr>
          <w:rFonts w:ascii="Times New Roman" w:hAnsi="Times New Roman" w:cs="Times New Roman"/>
          <w:sz w:val="28"/>
          <w:szCs w:val="28"/>
        </w:rPr>
        <w:t>emb_logo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E0D64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http://datajournalism.stanford.edu/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F49097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http://archive.nytimes.com/www.nytimes.com/interactive/2012/08/05/sports/olympics/ the-100-meter-dash-one-race-every-medalist-ever.html </w:t>
      </w:r>
    </w:p>
    <w:p w14:paraId="725BD3D5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https://flowingdata.com/tag/audiolization/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A908F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https://raw.githubusercontent.com/ft-interactive/chart-doctor/master/visualvocabulary/poster.png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E8934B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https://datavizcatalogue.com/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36779D0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OpenNews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Source </w:t>
      </w:r>
    </w:p>
    <w:p w14:paraId="73B90B08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DataDrivenJournalism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93662" w14:textId="77777777" w:rsidR="00224951" w:rsidRDefault="00224951" w:rsidP="00224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Q&amp;A </w:t>
      </w:r>
      <w:proofErr w:type="spellStart"/>
      <w:r>
        <w:rPr>
          <w:rFonts w:ascii="Times New Roman" w:hAnsi="Times New Roman" w:cs="Times New Roman"/>
          <w:sz w:val="28"/>
          <w:szCs w:val="28"/>
        </w:rPr>
        <w:t>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Edward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Tufte's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Website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«Data-репортаж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трансформациясы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9D80679" w14:textId="77777777" w:rsidR="00224951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форматы-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техникасымен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нұсқаулықтан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аласыз.әл</w:t>
      </w:r>
      <w:proofErr w:type="spellEnd"/>
      <w:r>
        <w:rPr>
          <w:rFonts w:ascii="Times New Roman" w:hAnsi="Times New Roman" w:cs="Times New Roman"/>
          <w:sz w:val="28"/>
          <w:szCs w:val="28"/>
        </w:rPr>
        <w:t>-Фараби, "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беру"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" сессия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https://www.kaznu.kz/ru/21639/page/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-Фараби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ҚазҰУ-дың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Moodle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форматы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тақырыптарын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A4A48C" w14:textId="77777777" w:rsidR="00C43287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МАҢЫЗДЫ: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бейнежазбаға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сессия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ай </w:t>
      </w:r>
      <w:proofErr w:type="spellStart"/>
      <w:r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бейнежазбасын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шешеді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себептермен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алмасаңыз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проректорға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куратор-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эдвайзерге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бөлімге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Билет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Билетте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магистрант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магистрант тек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машығына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танытуы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сұраққа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негіздеу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берілуге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Сұрақтағы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кейс </w:t>
      </w:r>
      <w:proofErr w:type="spellStart"/>
      <w:r>
        <w:rPr>
          <w:rFonts w:ascii="Times New Roman" w:hAnsi="Times New Roman" w:cs="Times New Roman"/>
          <w:sz w:val="28"/>
          <w:szCs w:val="28"/>
        </w:rPr>
        <w:t>ұсынылуы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талдануы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жазғанын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жауабыңыз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013EC3C" w14:textId="77777777" w:rsidR="00C43287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түпнұсқалығының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75%.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дәйексөздер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актілерден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ескереді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EC6A1EF" w14:textId="77777777" w:rsidR="00C43287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Әріптік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эквиваленті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4,0 95-100 85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B5AA55" w14:textId="77777777" w:rsidR="00C43287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Өте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- 3,67 90 -94 85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В+ 3,33 85 -89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AA710" w14:textId="77777777" w:rsidR="00C43287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3,0 80 -84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- 2,67 75 -79 80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. С+ 2,33 70 -74 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</w:p>
    <w:p w14:paraId="2F7D24A1" w14:textId="02544012" w:rsidR="00224951" w:rsidRDefault="00224951" w:rsidP="002249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Қанағаттанарлық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2,0 65 -69 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- 1,67 60 -64 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D+ 1,33 55-59 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D- 1,0 50-54 75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 0 0-49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B13D69" w14:textId="3DDFF9F2" w:rsidR="00EB0670" w:rsidRPr="0012787F" w:rsidRDefault="00224951" w:rsidP="00224951">
      <w:pPr>
        <w:rPr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МАҢЫЗДЫ.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Аттестациялаудан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ұпайыңыз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бейнежазбаны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тұтастық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жалғандыққа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шпаргалкаларды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кезеңдерінде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оқытушыны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құрметсіздікпен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r w:rsidR="0012787F">
        <w:rPr>
          <w:rFonts w:ascii="Times New Roman" w:hAnsi="Times New Roman" w:cs="Times New Roman"/>
          <w:sz w:val="28"/>
          <w:szCs w:val="28"/>
          <w:lang w:val="kk-KZ"/>
        </w:rPr>
        <w:t xml:space="preserve"> Сәттілік.</w:t>
      </w:r>
    </w:p>
    <w:sectPr w:rsidR="00EB0670" w:rsidRPr="00127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DE"/>
    <w:rsid w:val="0012787F"/>
    <w:rsid w:val="00224951"/>
    <w:rsid w:val="008D0EDE"/>
    <w:rsid w:val="00C43287"/>
    <w:rsid w:val="00EB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E675"/>
  <w15:chartTrackingRefBased/>
  <w15:docId w15:val="{62AD5951-0EED-4CA2-953C-2327C62EB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95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49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6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w.githubusercontent.com/ft-interactive/chart-doctor/master/visualvocabulary/poste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lowingdata.com/tag/audiolization/" TargetMode="External"/><Relationship Id="rId5" Type="http://schemas.openxmlformats.org/officeDocument/2006/relationships/hyperlink" Target="http://datajournalism.stanford.edu/" TargetMode="External"/><Relationship Id="rId4" Type="http://schemas.openxmlformats.org/officeDocument/2006/relationships/hyperlink" Target="https://www.youtube.com/watch?v=jbkSRLYSojo&amp;feature=youtu.b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988</Words>
  <Characters>5638</Characters>
  <Application>Microsoft Office Word</Application>
  <DocSecurity>0</DocSecurity>
  <Lines>46</Lines>
  <Paragraphs>13</Paragraphs>
  <ScaleCrop>false</ScaleCrop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2022-10-17T05:59:00Z</dcterms:created>
  <dcterms:modified xsi:type="dcterms:W3CDTF">2022-10-17T06:01:00Z</dcterms:modified>
</cp:coreProperties>
</file>